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10"/>
          <w:rFonts w:hint="default" w:ascii="黑体" w:hAnsi="黑体" w:eastAsia="黑体"/>
          <w:color w:val="000000" w:themeColor="text1"/>
          <w:sz w:val="32"/>
          <w:szCs w:val="32"/>
        </w:rPr>
      </w:pPr>
      <w:r>
        <w:rPr>
          <w:rStyle w:val="10"/>
          <w:rFonts w:hint="default" w:ascii="黑体" w:hAnsi="黑体" w:eastAsia="黑体"/>
          <w:color w:val="000000" w:themeColor="text1"/>
          <w:sz w:val="32"/>
          <w:szCs w:val="32"/>
        </w:rPr>
        <w:t>中国经济与管理研究院</w:t>
      </w:r>
    </w:p>
    <w:p>
      <w:pPr>
        <w:jc w:val="center"/>
        <w:rPr>
          <w:rStyle w:val="10"/>
          <w:rFonts w:hint="default" w:ascii="黑体" w:hAnsi="黑体" w:eastAsia="黑体"/>
          <w:sz w:val="32"/>
          <w:szCs w:val="32"/>
        </w:rPr>
      </w:pPr>
      <w:r>
        <w:rPr>
          <w:rStyle w:val="10"/>
          <w:rFonts w:hint="default" w:ascii="黑体" w:hAnsi="黑体" w:eastAsia="黑体"/>
          <w:sz w:val="32"/>
          <w:szCs w:val="32"/>
        </w:rPr>
        <w:t>二年级及以上研究生学业奖学金评审</w:t>
      </w:r>
      <w:r>
        <w:rPr>
          <w:rStyle w:val="10"/>
          <w:rFonts w:ascii="黑体" w:hAnsi="黑体" w:eastAsia="黑体"/>
          <w:sz w:val="32"/>
          <w:szCs w:val="32"/>
        </w:rPr>
        <w:t>实施</w:t>
      </w:r>
      <w:r>
        <w:rPr>
          <w:rStyle w:val="10"/>
          <w:rFonts w:hint="default" w:ascii="黑体" w:hAnsi="黑体" w:eastAsia="黑体"/>
          <w:sz w:val="32"/>
          <w:szCs w:val="32"/>
        </w:rPr>
        <w:t>细则</w:t>
      </w:r>
    </w:p>
    <w:p>
      <w:pPr>
        <w:jc w:val="center"/>
        <w:rPr>
          <w:rStyle w:val="10"/>
          <w:rFonts w:hint="default" w:ascii="黑体" w:hAnsi="黑体" w:eastAsia="黑体"/>
          <w:sz w:val="32"/>
          <w:szCs w:val="32"/>
        </w:rPr>
      </w:pPr>
    </w:p>
    <w:p>
      <w:pPr>
        <w:adjustRightInd w:val="0"/>
        <w:snapToGrid w:val="0"/>
        <w:spacing w:line="360" w:lineRule="auto"/>
        <w:ind w:firstLine="480" w:firstLineChars="200"/>
        <w:rPr>
          <w:rFonts w:ascii="宋体" w:hAnsi="宋体" w:eastAsia="宋体"/>
          <w:b/>
          <w:color w:val="000000" w:themeColor="text1"/>
          <w:sz w:val="24"/>
          <w:szCs w:val="24"/>
        </w:rPr>
      </w:pPr>
      <w:r>
        <w:rPr>
          <w:rFonts w:ascii="宋体" w:hAnsi="宋体" w:eastAsia="宋体"/>
          <w:color w:val="000000"/>
          <w:sz w:val="24"/>
          <w:szCs w:val="24"/>
        </w:rPr>
        <w:t>根据《中央财经大学研究生奖助工作管理办法（暂行）》（校发〔2014〕92号）、《中央财经大学研究生</w:t>
      </w:r>
      <w:r>
        <w:rPr>
          <w:rFonts w:hint="eastAsia" w:ascii="宋体" w:hAnsi="宋体" w:eastAsia="宋体"/>
          <w:color w:val="000000"/>
          <w:sz w:val="24"/>
          <w:szCs w:val="24"/>
        </w:rPr>
        <w:t>学业</w:t>
      </w:r>
      <w:r>
        <w:rPr>
          <w:rFonts w:ascii="宋体" w:hAnsi="宋体" w:eastAsia="宋体"/>
          <w:color w:val="000000"/>
          <w:sz w:val="24"/>
          <w:szCs w:val="24"/>
        </w:rPr>
        <w:t>奖学金评审</w:t>
      </w:r>
      <w:r>
        <w:rPr>
          <w:rFonts w:hint="eastAsia" w:ascii="宋体" w:hAnsi="宋体" w:eastAsia="宋体"/>
          <w:color w:val="000000"/>
          <w:sz w:val="24"/>
          <w:szCs w:val="24"/>
        </w:rPr>
        <w:t>管理</w:t>
      </w:r>
      <w:r>
        <w:rPr>
          <w:rFonts w:ascii="宋体" w:hAnsi="宋体" w:eastAsia="宋体"/>
          <w:color w:val="000000"/>
          <w:sz w:val="24"/>
          <w:szCs w:val="24"/>
        </w:rPr>
        <w:t>办法</w:t>
      </w:r>
      <w:r>
        <w:rPr>
          <w:rFonts w:hint="eastAsia" w:ascii="宋体" w:hAnsi="宋体" w:eastAsia="宋体"/>
          <w:color w:val="000000"/>
          <w:sz w:val="24"/>
          <w:szCs w:val="24"/>
        </w:rPr>
        <w:t>（修订）</w:t>
      </w:r>
      <w:r>
        <w:rPr>
          <w:rFonts w:ascii="宋体" w:hAnsi="宋体" w:eastAsia="宋体"/>
          <w:color w:val="000000"/>
          <w:sz w:val="24"/>
          <w:szCs w:val="24"/>
        </w:rPr>
        <w:t>》（校发〔20</w:t>
      </w:r>
      <w:r>
        <w:rPr>
          <w:rFonts w:hint="eastAsia" w:ascii="宋体" w:hAnsi="宋体" w:eastAsia="宋体"/>
          <w:color w:val="000000"/>
          <w:sz w:val="24"/>
          <w:szCs w:val="24"/>
          <w:lang w:val="en-US" w:eastAsia="zh-CN"/>
        </w:rPr>
        <w:t>21</w:t>
      </w:r>
      <w:r>
        <w:rPr>
          <w:rFonts w:ascii="宋体" w:hAnsi="宋体" w:eastAsia="宋体"/>
          <w:color w:val="000000"/>
          <w:sz w:val="24"/>
          <w:szCs w:val="24"/>
        </w:rPr>
        <w:t>〕1</w:t>
      </w:r>
      <w:r>
        <w:rPr>
          <w:rFonts w:hint="eastAsia" w:ascii="宋体" w:hAnsi="宋体" w:eastAsia="宋体"/>
          <w:color w:val="000000"/>
          <w:sz w:val="24"/>
          <w:szCs w:val="24"/>
          <w:lang w:val="en-US" w:eastAsia="zh-CN"/>
        </w:rPr>
        <w:t>00</w:t>
      </w:r>
      <w:r>
        <w:rPr>
          <w:rFonts w:ascii="宋体" w:hAnsi="宋体" w:eastAsia="宋体"/>
          <w:color w:val="000000"/>
          <w:sz w:val="24"/>
          <w:szCs w:val="24"/>
        </w:rPr>
        <w:t>号）等文件精神，结合</w:t>
      </w:r>
      <w:r>
        <w:rPr>
          <w:rFonts w:hint="eastAsia" w:ascii="宋体" w:hAnsi="宋体" w:eastAsia="宋体"/>
          <w:color w:val="000000"/>
          <w:sz w:val="24"/>
          <w:szCs w:val="24"/>
        </w:rPr>
        <w:t>中国经济与管理研究院</w:t>
      </w:r>
      <w:r>
        <w:rPr>
          <w:rFonts w:ascii="宋体" w:hAnsi="宋体" w:eastAsia="宋体"/>
          <w:color w:val="000000"/>
          <w:sz w:val="24"/>
          <w:szCs w:val="24"/>
        </w:rPr>
        <w:t>实际情况</w:t>
      </w:r>
      <w:r>
        <w:rPr>
          <w:rFonts w:hint="eastAsia" w:ascii="宋体" w:hAnsi="宋体" w:eastAsia="宋体"/>
          <w:color w:val="000000"/>
          <w:sz w:val="24"/>
          <w:szCs w:val="24"/>
        </w:rPr>
        <w:t>，特</w:t>
      </w:r>
      <w:r>
        <w:rPr>
          <w:rFonts w:ascii="宋体" w:hAnsi="宋体" w:eastAsia="宋体"/>
          <w:color w:val="000000"/>
          <w:sz w:val="24"/>
          <w:szCs w:val="24"/>
        </w:rPr>
        <w:t>制定</w:t>
      </w:r>
      <w:r>
        <w:rPr>
          <w:rFonts w:hint="eastAsia"/>
          <w:sz w:val="24"/>
          <w:szCs w:val="24"/>
        </w:rPr>
        <w:t>本研究院</w:t>
      </w:r>
      <w:r>
        <w:rPr>
          <w:sz w:val="24"/>
          <w:szCs w:val="24"/>
        </w:rPr>
        <w:t>研究生国家奖学金</w:t>
      </w:r>
      <w:r>
        <w:rPr>
          <w:rFonts w:hint="eastAsia"/>
          <w:sz w:val="24"/>
          <w:szCs w:val="24"/>
        </w:rPr>
        <w:t>评审细则。</w:t>
      </w:r>
    </w:p>
    <w:p>
      <w:pPr>
        <w:widowControl/>
        <w:adjustRightInd w:val="0"/>
        <w:snapToGrid w:val="0"/>
        <w:spacing w:line="360" w:lineRule="auto"/>
        <w:jc w:val="left"/>
        <w:rPr>
          <w:rFonts w:cs="Times New Roman" w:asciiTheme="minorEastAsia" w:hAnsiTheme="minorEastAsia"/>
          <w:b/>
          <w:bCs/>
          <w:color w:val="000000" w:themeColor="text1"/>
          <w:kern w:val="0"/>
          <w:sz w:val="25"/>
          <w:szCs w:val="25"/>
        </w:rPr>
      </w:pPr>
      <w:r>
        <w:rPr>
          <w:rFonts w:hint="eastAsia" w:cs="Times New Roman" w:asciiTheme="minorEastAsia" w:hAnsiTheme="minorEastAsia"/>
          <w:b/>
          <w:bCs/>
          <w:color w:val="000000" w:themeColor="text1"/>
          <w:kern w:val="0"/>
          <w:sz w:val="25"/>
          <w:szCs w:val="25"/>
        </w:rPr>
        <w:t>一、评选指标体系</w:t>
      </w:r>
    </w:p>
    <w:p>
      <w:pPr>
        <w:adjustRightInd w:val="0"/>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（一）二年级及以上硕士研究生学业奖</w:t>
      </w:r>
      <w:bookmarkStart w:id="0" w:name="_GoBack"/>
      <w:bookmarkEnd w:id="0"/>
      <w:r>
        <w:rPr>
          <w:rFonts w:hint="eastAsia" w:ascii="宋体" w:hAnsi="宋体" w:eastAsia="宋体" w:cs="宋体"/>
          <w:color w:val="000000"/>
          <w:sz w:val="24"/>
          <w:szCs w:val="24"/>
        </w:rPr>
        <w:t>学金评审，依据学生上一学年在学习成绩、学术研究和学生工作的表现，按照本细则进行综合量化评分。</w:t>
      </w:r>
    </w:p>
    <w:p>
      <w:pPr>
        <w:adjustRightInd w:val="0"/>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学习成绩占比60%，学术研究占比30%，学生工作占比10%。 </w:t>
      </w:r>
    </w:p>
    <w:p>
      <w:pPr>
        <w:adjustRightInd w:val="0"/>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具体评审将按照综合成绩=60×（前一学年学分平均绩点/4.5）+学术研究*0.3+学生工作*0.1计算。</w:t>
      </w:r>
    </w:p>
    <w:p>
      <w:pPr>
        <w:adjustRightInd w:val="0"/>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上一学年学科专业选修课不及格的，在综合成绩基础上减10分作为参评结果。</w:t>
      </w:r>
    </w:p>
    <w:p>
      <w:pPr>
        <w:adjustRightInd w:val="0"/>
        <w:snapToGrid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在测评分数相同的情况下，最终等级以前一年绩点成绩确定，绩点成绩如果相同，再以学分加权平均分高低确定。</w:t>
      </w:r>
    </w:p>
    <w:p>
      <w:pPr>
        <w:widowControl/>
        <w:adjustRightInd w:val="0"/>
        <w:snapToGrid w:val="0"/>
        <w:spacing w:line="360" w:lineRule="auto"/>
        <w:ind w:firstLine="516"/>
        <w:jc w:val="lef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1、学术研究的评测内容为参评者的学术研究成果。</w:t>
      </w:r>
    </w:p>
    <w:p>
      <w:pPr>
        <w:widowControl/>
        <w:adjustRightInd w:val="0"/>
        <w:snapToGrid w:val="0"/>
        <w:spacing w:line="360" w:lineRule="auto"/>
        <w:ind w:firstLine="516"/>
        <w:jc w:val="lef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二年级及以上硕士研究生，满足下列第（1）至（5）项条件任一项计分，同一项可以重复记分。</w:t>
      </w:r>
    </w:p>
    <w:p>
      <w:pPr>
        <w:widowControl/>
        <w:adjustRightInd w:val="0"/>
        <w:snapToGrid w:val="0"/>
        <w:spacing w:line="360" w:lineRule="auto"/>
        <w:ind w:firstLine="516"/>
        <w:jc w:val="lef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（1）作为第一作者或第二作者（第一作者须为申请人导师或本校本专业老师）发表与所学学科、专业相关的高质量学术论文，期刊类别以A类及以上或外文期刊计15分，B类计8分；</w:t>
      </w:r>
    </w:p>
    <w:p>
      <w:pPr>
        <w:widowControl/>
        <w:adjustRightInd w:val="0"/>
        <w:snapToGrid w:val="0"/>
        <w:spacing w:line="360" w:lineRule="auto"/>
        <w:ind w:firstLine="516"/>
        <w:jc w:val="lef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（2）以第一作者或导师第一、学生第二作者出版学术专著，计10分；</w:t>
      </w:r>
    </w:p>
    <w:p>
      <w:pPr>
        <w:widowControl/>
        <w:adjustRightInd w:val="0"/>
        <w:snapToGrid w:val="0"/>
        <w:spacing w:line="360" w:lineRule="auto"/>
        <w:ind w:firstLine="516"/>
        <w:jc w:val="lef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（3）以成员身份参与学术科研课题研究，课题类别以国家级课题计10分，省市级计8分，校级以下计5分；</w:t>
      </w:r>
    </w:p>
    <w:p>
      <w:pPr>
        <w:widowControl/>
        <w:adjustRightInd w:val="0"/>
        <w:snapToGrid w:val="0"/>
        <w:spacing w:line="360" w:lineRule="auto"/>
        <w:ind w:firstLine="516"/>
        <w:jc w:val="lef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（4）科研成果获省部级及以上奖励或国家级学会奖励或在国际本专业高水平学术会议上宣讲论文，计10分；在国内本专业学术会议宣讲论文，计5分；</w:t>
      </w:r>
    </w:p>
    <w:p>
      <w:pPr>
        <w:widowControl/>
        <w:adjustRightInd w:val="0"/>
        <w:snapToGrid w:val="0"/>
        <w:spacing w:line="360" w:lineRule="auto"/>
        <w:ind w:firstLine="516"/>
        <w:jc w:val="lef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（5）获我校研究生论文大赛优胜，一等奖计10分、二等奖计8分、三等奖计5分。</w:t>
      </w:r>
    </w:p>
    <w:p>
      <w:pPr>
        <w:widowControl/>
        <w:adjustRightInd w:val="0"/>
        <w:snapToGrid w:val="0"/>
        <w:spacing w:line="360" w:lineRule="auto"/>
        <w:ind w:firstLine="516"/>
        <w:jc w:val="lef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不满足上述条件但积极参与导师课题研究工作，可酌情加分，由硕士生导师根据参评者的具体工作情况确定，但最多不得超过5分。</w:t>
      </w:r>
    </w:p>
    <w:p>
      <w:pPr>
        <w:widowControl/>
        <w:adjustRightInd w:val="0"/>
        <w:snapToGrid w:val="0"/>
        <w:spacing w:line="360" w:lineRule="auto"/>
        <w:ind w:firstLine="516"/>
        <w:jc w:val="lef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以上各项证明材料由参评者提交、评审委员会进行审核。</w:t>
      </w:r>
    </w:p>
    <w:p>
      <w:pPr>
        <w:widowControl/>
        <w:adjustRightInd w:val="0"/>
        <w:snapToGrid w:val="0"/>
        <w:spacing w:line="360" w:lineRule="auto"/>
        <w:ind w:firstLine="516"/>
        <w:jc w:val="lef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2、学生工作包括参评者在校、院两级党、团、学组织的任职情况。</w:t>
      </w:r>
    </w:p>
    <w:p>
      <w:pPr>
        <w:widowControl/>
        <w:adjustRightInd w:val="0"/>
        <w:snapToGrid w:val="0"/>
        <w:spacing w:line="360" w:lineRule="auto"/>
        <w:ind w:firstLine="516"/>
        <w:jc w:val="lef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任下列职务、工作称职的，按照以下规则计分：任校研究生会主席（副主席）、部长（副部长）和干事的，分别计8分、5分和2分；任班党支部书记、支部委员的，分别计8分和5分；任班干部的，按工作情况酌情加3-8分。在研究生院办公室、研究院内</w:t>
      </w:r>
      <w:r>
        <w:rPr>
          <w:rFonts w:hint="eastAsia" w:ascii="宋体" w:hAnsi="宋体" w:eastAsia="宋体" w:cs="宋体"/>
          <w:color w:val="000000" w:themeColor="text1"/>
          <w:kern w:val="0"/>
          <w:sz w:val="24"/>
          <w:szCs w:val="24"/>
          <w:lang w:eastAsia="zh-CN"/>
        </w:rPr>
        <w:t>担任</w:t>
      </w:r>
      <w:r>
        <w:rPr>
          <w:rFonts w:hint="eastAsia" w:ascii="宋体" w:hAnsi="宋体" w:eastAsia="宋体" w:cs="宋体"/>
          <w:color w:val="000000" w:themeColor="text1"/>
          <w:kern w:val="0"/>
          <w:sz w:val="24"/>
          <w:szCs w:val="24"/>
        </w:rPr>
        <w:t>助理、担任研究院班级工作助理、助教的，在考核合格的条件下，由主管老师按照岗位性质工作量、完成情况酌情记2-8分。</w:t>
      </w:r>
    </w:p>
    <w:p>
      <w:pPr>
        <w:widowControl/>
        <w:adjustRightInd w:val="0"/>
        <w:snapToGrid w:val="0"/>
        <w:spacing w:line="360" w:lineRule="auto"/>
        <w:ind w:firstLine="516"/>
        <w:jc w:val="left"/>
        <w:rPr>
          <w:rFonts w:hint="eastAsia" w:ascii="宋体" w:hAnsi="宋体" w:eastAsia="宋体" w:cs="宋体"/>
          <w:kern w:val="0"/>
          <w:sz w:val="24"/>
          <w:szCs w:val="24"/>
        </w:rPr>
      </w:pPr>
      <w:r>
        <w:rPr>
          <w:rFonts w:hint="eastAsia" w:ascii="宋体" w:hAnsi="宋体" w:eastAsia="宋体" w:cs="宋体"/>
          <w:color w:val="000000" w:themeColor="text1"/>
          <w:kern w:val="0"/>
          <w:sz w:val="24"/>
          <w:szCs w:val="24"/>
        </w:rPr>
        <w:t>一人兼任多职的，以得分最高的职务计，并可酌情加分，但最多不得超过10分。参评者履职业绩突出获得荣誉称号获表彰的，可酌情加分，</w:t>
      </w:r>
      <w:r>
        <w:rPr>
          <w:rFonts w:hint="eastAsia" w:ascii="宋体" w:hAnsi="宋体" w:eastAsia="宋体" w:cs="宋体"/>
          <w:color w:val="000000" w:themeColor="text1"/>
          <w:kern w:val="0"/>
          <w:sz w:val="24"/>
          <w:szCs w:val="24"/>
          <w:lang w:val="en-US" w:eastAsia="zh-CN"/>
        </w:rPr>
        <w:t>最多加</w:t>
      </w:r>
      <w:r>
        <w:rPr>
          <w:rFonts w:hint="eastAsia" w:ascii="宋体" w:hAnsi="宋体" w:eastAsia="宋体" w:cs="宋体"/>
          <w:kern w:val="0"/>
          <w:sz w:val="24"/>
          <w:szCs w:val="24"/>
          <w:lang w:val="en-US" w:eastAsia="zh-CN"/>
        </w:rPr>
        <w:t>5分</w:t>
      </w:r>
      <w:r>
        <w:rPr>
          <w:rFonts w:hint="eastAsia" w:ascii="宋体" w:hAnsi="宋体" w:eastAsia="宋体" w:cs="宋体"/>
          <w:kern w:val="0"/>
          <w:sz w:val="24"/>
          <w:szCs w:val="24"/>
        </w:rPr>
        <w:t>。</w:t>
      </w:r>
    </w:p>
    <w:p>
      <w:pPr>
        <w:widowControl/>
        <w:adjustRightInd w:val="0"/>
        <w:snapToGrid w:val="0"/>
        <w:spacing w:line="360" w:lineRule="auto"/>
        <w:ind w:firstLine="516"/>
        <w:jc w:val="lef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前述分数，由评审委员会根据参评者任职情况核实并评定得分。</w:t>
      </w:r>
    </w:p>
    <w:p>
      <w:pPr>
        <w:widowControl/>
        <w:adjustRightInd w:val="0"/>
        <w:snapToGrid w:val="0"/>
        <w:spacing w:line="360" w:lineRule="auto"/>
        <w:ind w:firstLine="480" w:firstLineChars="200"/>
        <w:jc w:val="left"/>
        <w:rPr>
          <w:rFonts w:hint="eastAsia" w:ascii="宋体" w:hAnsi="宋体" w:eastAsia="宋体" w:cs="宋体"/>
          <w:color w:val="5B9BD5" w:themeColor="accent1"/>
          <w:sz w:val="24"/>
          <w:szCs w:val="24"/>
        </w:rPr>
      </w:pPr>
      <w:r>
        <w:rPr>
          <w:rFonts w:hint="eastAsia" w:ascii="宋体" w:hAnsi="宋体" w:eastAsia="宋体" w:cs="宋体"/>
          <w:color w:val="000000" w:themeColor="text1"/>
          <w:sz w:val="24"/>
          <w:szCs w:val="24"/>
        </w:rPr>
        <w:t>(二）二年级及以上博士研究生学业奖学金的评选，在申请者符合校发[20</w:t>
      </w:r>
      <w:r>
        <w:rPr>
          <w:rFonts w:hint="eastAsia" w:ascii="宋体" w:hAnsi="宋体" w:eastAsia="宋体" w:cs="宋体"/>
          <w:color w:val="000000" w:themeColor="text1"/>
          <w:sz w:val="24"/>
          <w:szCs w:val="24"/>
          <w:lang w:val="en-US" w:eastAsia="zh-CN"/>
        </w:rPr>
        <w:t>21</w:t>
      </w:r>
      <w:r>
        <w:rPr>
          <w:rFonts w:hint="eastAsia" w:ascii="宋体" w:hAnsi="宋体" w:eastAsia="宋体" w:cs="宋体"/>
          <w:color w:val="000000" w:themeColor="text1"/>
          <w:sz w:val="24"/>
          <w:szCs w:val="24"/>
        </w:rPr>
        <w:t>]1</w:t>
      </w:r>
      <w:r>
        <w:rPr>
          <w:rFonts w:hint="eastAsia" w:ascii="宋体" w:hAnsi="宋体" w:eastAsia="宋体" w:cs="宋体"/>
          <w:color w:val="000000" w:themeColor="text1"/>
          <w:sz w:val="24"/>
          <w:szCs w:val="24"/>
          <w:lang w:val="en-US" w:eastAsia="zh-CN"/>
        </w:rPr>
        <w:t>00</w:t>
      </w:r>
      <w:r>
        <w:rPr>
          <w:rFonts w:hint="eastAsia" w:ascii="宋体" w:hAnsi="宋体" w:eastAsia="宋体" w:cs="宋体"/>
          <w:color w:val="000000" w:themeColor="text1"/>
          <w:sz w:val="24"/>
          <w:szCs w:val="24"/>
        </w:rPr>
        <w:t>号文件“第二章”中的相关规定的前提下，依据发表论文期刊等级由评审委员会确定获奖顺序。在发表论文期刊等级相同的情况下，考虑学习成绩确定获奖顺序。</w:t>
      </w:r>
    </w:p>
    <w:p>
      <w:pPr>
        <w:widowControl/>
        <w:adjustRightInd w:val="0"/>
        <w:snapToGrid w:val="0"/>
        <w:spacing w:line="360" w:lineRule="auto"/>
        <w:jc w:val="left"/>
        <w:rPr>
          <w:rFonts w:hint="eastAsia" w:cs="Times New Roman" w:asciiTheme="minorEastAsia" w:hAnsiTheme="minorEastAsia"/>
          <w:b/>
          <w:bCs/>
          <w:color w:val="000000" w:themeColor="text1"/>
          <w:kern w:val="0"/>
          <w:sz w:val="25"/>
          <w:szCs w:val="25"/>
        </w:rPr>
      </w:pPr>
      <w:r>
        <w:rPr>
          <w:rFonts w:hint="eastAsia" w:cs="Times New Roman" w:asciiTheme="minorEastAsia" w:hAnsiTheme="minorEastAsia"/>
          <w:b/>
          <w:bCs/>
          <w:color w:val="000000" w:themeColor="text1"/>
          <w:kern w:val="0"/>
          <w:sz w:val="25"/>
          <w:szCs w:val="25"/>
        </w:rPr>
        <w:t>二、附则</w:t>
      </w:r>
    </w:p>
    <w:p>
      <w:pPr>
        <w:widowControl/>
        <w:adjustRightInd w:val="0"/>
        <w:snapToGrid w:val="0"/>
        <w:spacing w:line="360" w:lineRule="auto"/>
        <w:ind w:firstLine="516"/>
        <w:jc w:val="lef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 xml:space="preserve">本细则由中国经济与管理研究院硕士研究生学业奖学金评委会负责解释。 </w:t>
      </w:r>
    </w:p>
    <w:p>
      <w:pPr>
        <w:widowControl/>
        <w:adjustRightInd w:val="0"/>
        <w:snapToGrid w:val="0"/>
        <w:spacing w:line="360" w:lineRule="auto"/>
        <w:ind w:firstLine="516"/>
        <w:jc w:val="left"/>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本细则自发文之日起施行。</w:t>
      </w:r>
    </w:p>
    <w:p>
      <w:pPr>
        <w:pStyle w:val="14"/>
        <w:adjustRightInd w:val="0"/>
        <w:snapToGrid w:val="0"/>
        <w:spacing w:line="360" w:lineRule="auto"/>
        <w:ind w:firstLineChars="200"/>
        <w:rPr>
          <w:color w:val="000000"/>
          <w:sz w:val="24"/>
          <w:szCs w:val="24"/>
        </w:rPr>
      </w:pPr>
    </w:p>
    <w:p>
      <w:pPr>
        <w:pStyle w:val="14"/>
        <w:adjustRightInd w:val="0"/>
        <w:snapToGrid w:val="0"/>
        <w:spacing w:line="360" w:lineRule="auto"/>
        <w:ind w:firstLineChars="200"/>
        <w:jc w:val="right"/>
        <w:rPr>
          <w:color w:val="000000"/>
          <w:sz w:val="24"/>
          <w:szCs w:val="24"/>
        </w:rPr>
      </w:pPr>
      <w:r>
        <w:rPr>
          <w:rFonts w:hint="eastAsia"/>
          <w:color w:val="000000"/>
          <w:sz w:val="24"/>
          <w:szCs w:val="24"/>
        </w:rPr>
        <w:t>中国经济与管理研究院</w:t>
      </w:r>
    </w:p>
    <w:p>
      <w:pPr>
        <w:pStyle w:val="14"/>
        <w:adjustRightInd w:val="0"/>
        <w:snapToGrid w:val="0"/>
        <w:spacing w:line="360" w:lineRule="auto"/>
        <w:ind w:firstLineChars="200"/>
        <w:jc w:val="right"/>
        <w:rPr>
          <w:color w:val="000000"/>
          <w:sz w:val="24"/>
          <w:szCs w:val="24"/>
        </w:rPr>
      </w:pPr>
      <w:r>
        <w:rPr>
          <w:rFonts w:hint="eastAsia"/>
          <w:color w:val="000000"/>
          <w:sz w:val="24"/>
          <w:szCs w:val="24"/>
        </w:rPr>
        <w:t>二</w:t>
      </w:r>
      <w:r>
        <w:rPr>
          <w:rFonts w:hint="eastAsia" w:eastAsia="宋体"/>
          <w:color w:val="000000" w:themeColor="text1"/>
          <w:sz w:val="24"/>
          <w:szCs w:val="24"/>
        </w:rPr>
        <w:t>〇</w:t>
      </w:r>
      <w:r>
        <w:rPr>
          <w:rFonts w:hint="eastAsia"/>
          <w:color w:val="000000"/>
          <w:sz w:val="24"/>
          <w:szCs w:val="24"/>
        </w:rPr>
        <w:t>二</w:t>
      </w:r>
      <w:r>
        <w:rPr>
          <w:rFonts w:hint="eastAsia"/>
          <w:color w:val="000000"/>
          <w:sz w:val="24"/>
          <w:szCs w:val="24"/>
          <w:lang w:val="en-US" w:eastAsia="zh-CN"/>
        </w:rPr>
        <w:t>一</w:t>
      </w:r>
      <w:r>
        <w:rPr>
          <w:rFonts w:hint="eastAsia"/>
          <w:color w:val="000000"/>
          <w:sz w:val="24"/>
          <w:szCs w:val="24"/>
        </w:rPr>
        <w:t>年十月十二日</w:t>
      </w:r>
    </w:p>
    <w:p>
      <w:pPr>
        <w:widowControl/>
        <w:adjustRightInd w:val="0"/>
        <w:snapToGrid w:val="0"/>
        <w:spacing w:line="360" w:lineRule="auto"/>
        <w:jc w:val="left"/>
        <w:rPr>
          <w:rFonts w:cs="Times New Roman" w:asciiTheme="minorEastAsia" w:hAnsiTheme="minorEastAsia"/>
          <w:color w:val="5B9BD5" w:themeColor="accent1"/>
          <w:sz w:val="25"/>
          <w:szCs w:val="25"/>
        </w:rPr>
      </w:pPr>
    </w:p>
    <w:p>
      <w:pPr>
        <w:spacing w:line="520" w:lineRule="exact"/>
        <w:ind w:firstLine="480" w:firstLineChars="200"/>
        <w:rPr>
          <w:rFonts w:ascii="宋体" w:hAnsi="宋体" w:eastAsia="宋体"/>
          <w:color w:val="FF000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72D0"/>
    <w:rsid w:val="000020CD"/>
    <w:rsid w:val="0001673C"/>
    <w:rsid w:val="0003641A"/>
    <w:rsid w:val="00040C67"/>
    <w:rsid w:val="00072EE2"/>
    <w:rsid w:val="00090275"/>
    <w:rsid w:val="000A2814"/>
    <w:rsid w:val="000A5F5D"/>
    <w:rsid w:val="000B4E29"/>
    <w:rsid w:val="000D09D5"/>
    <w:rsid w:val="000E1F44"/>
    <w:rsid w:val="00111225"/>
    <w:rsid w:val="00114BFF"/>
    <w:rsid w:val="00165130"/>
    <w:rsid w:val="0017526A"/>
    <w:rsid w:val="00175451"/>
    <w:rsid w:val="001A6850"/>
    <w:rsid w:val="001B1B63"/>
    <w:rsid w:val="001B5C4A"/>
    <w:rsid w:val="001C154B"/>
    <w:rsid w:val="00241E9C"/>
    <w:rsid w:val="002578E8"/>
    <w:rsid w:val="002B6E32"/>
    <w:rsid w:val="002C7535"/>
    <w:rsid w:val="0030284A"/>
    <w:rsid w:val="00333179"/>
    <w:rsid w:val="00337560"/>
    <w:rsid w:val="003720C1"/>
    <w:rsid w:val="00376022"/>
    <w:rsid w:val="003770A9"/>
    <w:rsid w:val="003B0B1C"/>
    <w:rsid w:val="003B52DF"/>
    <w:rsid w:val="003D3DF5"/>
    <w:rsid w:val="003F6A59"/>
    <w:rsid w:val="0040360F"/>
    <w:rsid w:val="00421C59"/>
    <w:rsid w:val="00442C28"/>
    <w:rsid w:val="00470DD1"/>
    <w:rsid w:val="004B3879"/>
    <w:rsid w:val="004F52FA"/>
    <w:rsid w:val="004F79C8"/>
    <w:rsid w:val="0052208A"/>
    <w:rsid w:val="005622B3"/>
    <w:rsid w:val="005C4576"/>
    <w:rsid w:val="005C7DC8"/>
    <w:rsid w:val="005F3E8E"/>
    <w:rsid w:val="0060633E"/>
    <w:rsid w:val="006467B7"/>
    <w:rsid w:val="00655ACA"/>
    <w:rsid w:val="00656078"/>
    <w:rsid w:val="00657575"/>
    <w:rsid w:val="00662427"/>
    <w:rsid w:val="006C10A4"/>
    <w:rsid w:val="006C349D"/>
    <w:rsid w:val="006E6239"/>
    <w:rsid w:val="00743708"/>
    <w:rsid w:val="00794EC5"/>
    <w:rsid w:val="00804D13"/>
    <w:rsid w:val="00810EE9"/>
    <w:rsid w:val="008217E2"/>
    <w:rsid w:val="008249EF"/>
    <w:rsid w:val="00874F6E"/>
    <w:rsid w:val="0089351F"/>
    <w:rsid w:val="008A6BA5"/>
    <w:rsid w:val="008E26BB"/>
    <w:rsid w:val="008F294E"/>
    <w:rsid w:val="0092290E"/>
    <w:rsid w:val="009425A9"/>
    <w:rsid w:val="009B2E02"/>
    <w:rsid w:val="009C10ED"/>
    <w:rsid w:val="009D702C"/>
    <w:rsid w:val="009E0CCF"/>
    <w:rsid w:val="009E4E85"/>
    <w:rsid w:val="009E547D"/>
    <w:rsid w:val="009F5DC1"/>
    <w:rsid w:val="00A272D5"/>
    <w:rsid w:val="00A432AE"/>
    <w:rsid w:val="00A54A88"/>
    <w:rsid w:val="00AA4C1C"/>
    <w:rsid w:val="00AE3787"/>
    <w:rsid w:val="00AF5452"/>
    <w:rsid w:val="00B03A50"/>
    <w:rsid w:val="00B57F77"/>
    <w:rsid w:val="00B60394"/>
    <w:rsid w:val="00B97F85"/>
    <w:rsid w:val="00BA5224"/>
    <w:rsid w:val="00BE1705"/>
    <w:rsid w:val="00BF2A3E"/>
    <w:rsid w:val="00BF6225"/>
    <w:rsid w:val="00C04897"/>
    <w:rsid w:val="00C30875"/>
    <w:rsid w:val="00C37417"/>
    <w:rsid w:val="00C449EA"/>
    <w:rsid w:val="00C7208D"/>
    <w:rsid w:val="00CC096F"/>
    <w:rsid w:val="00CE67A0"/>
    <w:rsid w:val="00D130A3"/>
    <w:rsid w:val="00D45C47"/>
    <w:rsid w:val="00D53455"/>
    <w:rsid w:val="00D73287"/>
    <w:rsid w:val="00D810B2"/>
    <w:rsid w:val="00DA44C2"/>
    <w:rsid w:val="00DB72D0"/>
    <w:rsid w:val="00DD45DD"/>
    <w:rsid w:val="00DE7829"/>
    <w:rsid w:val="00E27F9A"/>
    <w:rsid w:val="00E6009D"/>
    <w:rsid w:val="00E84318"/>
    <w:rsid w:val="00EA263D"/>
    <w:rsid w:val="00EA7C29"/>
    <w:rsid w:val="00EE14F8"/>
    <w:rsid w:val="00EE17C3"/>
    <w:rsid w:val="00EF66EF"/>
    <w:rsid w:val="00F5465B"/>
    <w:rsid w:val="00F651E7"/>
    <w:rsid w:val="00F8392E"/>
    <w:rsid w:val="00FA7E06"/>
    <w:rsid w:val="00FF6E65"/>
    <w:rsid w:val="01294E52"/>
    <w:rsid w:val="022B5480"/>
    <w:rsid w:val="03616140"/>
    <w:rsid w:val="04C9185A"/>
    <w:rsid w:val="13785615"/>
    <w:rsid w:val="15DA2909"/>
    <w:rsid w:val="25F31712"/>
    <w:rsid w:val="2CE2749D"/>
    <w:rsid w:val="38F03168"/>
    <w:rsid w:val="42702C2F"/>
    <w:rsid w:val="539F383A"/>
    <w:rsid w:val="5708375E"/>
    <w:rsid w:val="580738A2"/>
    <w:rsid w:val="593E4C60"/>
    <w:rsid w:val="65B02F5E"/>
    <w:rsid w:val="6EA6478F"/>
    <w:rsid w:val="74DE5650"/>
    <w:rsid w:val="758A6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fontstyle01"/>
    <w:basedOn w:val="6"/>
    <w:qFormat/>
    <w:uiPriority w:val="0"/>
    <w:rPr>
      <w:rFonts w:hint="eastAsia" w:ascii="宋体" w:hAnsi="宋体" w:eastAsia="宋体"/>
      <w:color w:val="000000"/>
      <w:sz w:val="36"/>
      <w:szCs w:val="36"/>
    </w:rPr>
  </w:style>
  <w:style w:type="character" w:customStyle="1" w:styleId="11">
    <w:name w:val="fontstyle11"/>
    <w:basedOn w:val="6"/>
    <w:qFormat/>
    <w:uiPriority w:val="0"/>
    <w:rPr>
      <w:rFonts w:hint="default" w:ascii="Times New Roman" w:hAnsi="Times New Roman" w:cs="Times New Roman"/>
      <w:b/>
      <w:bCs/>
      <w:color w:val="000000"/>
      <w:sz w:val="36"/>
      <w:szCs w:val="36"/>
    </w:rPr>
  </w:style>
  <w:style w:type="paragraph" w:styleId="12">
    <w:name w:val="List Paragraph"/>
    <w:basedOn w:val="1"/>
    <w:qFormat/>
    <w:uiPriority w:val="34"/>
    <w:pPr>
      <w:ind w:firstLine="420" w:firstLineChars="200"/>
    </w:pPr>
  </w:style>
  <w:style w:type="character" w:customStyle="1" w:styleId="13">
    <w:name w:val="批注框文本 Char"/>
    <w:basedOn w:val="6"/>
    <w:link w:val="2"/>
    <w:semiHidden/>
    <w:qFormat/>
    <w:uiPriority w:val="99"/>
    <w:rPr>
      <w:sz w:val="18"/>
      <w:szCs w:val="18"/>
    </w:rPr>
  </w:style>
  <w:style w:type="paragraph" w:customStyle="1" w:styleId="14">
    <w:name w:val="duanluo"/>
    <w:basedOn w:val="1"/>
    <w:qFormat/>
    <w:uiPriority w:val="0"/>
    <w:pPr>
      <w:widowControl/>
      <w:spacing w:line="440" w:lineRule="atLeast"/>
      <w:ind w:firstLine="480"/>
      <w:jc w:val="left"/>
    </w:pPr>
    <w:rPr>
      <w:rFonts w:ascii="宋体" w:hAnsi="宋体" w:cs="宋体"/>
      <w:kern w:val="0"/>
      <w:sz w:val="29"/>
      <w:szCs w:val="2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190</Words>
  <Characters>1086</Characters>
  <Lines>9</Lines>
  <Paragraphs>2</Paragraphs>
  <TotalTime>27</TotalTime>
  <ScaleCrop>false</ScaleCrop>
  <LinksUpToDate>false</LinksUpToDate>
  <CharactersWithSpaces>1274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2020-10-14T01:46:00Z</dcterms:created>
  <dc:creator>China</dc:creator>
  <cp:lastModifiedBy>熊亚明</cp:lastModifiedBy>
  <cp:lastPrinted>2020-10-29T02:29:00Z</cp:lastPrinted>
  <dcterms:modified xsi:type="dcterms:W3CDTF">2021-10-13T01:07:26Z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2774EE63320F46608F9F1BA835A6510E</vt:lpwstr>
  </property>
</Properties>
</file>